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B8A" w:rsidRPr="008A5B8A" w:rsidRDefault="008A5B8A" w:rsidP="008A5B8A">
      <w:pPr>
        <w:jc w:val="right"/>
        <w:rPr>
          <w:b/>
          <w:sz w:val="24"/>
          <w:szCs w:val="24"/>
        </w:rPr>
      </w:pPr>
      <w:r w:rsidRPr="008A5B8A">
        <w:rPr>
          <w:b/>
          <w:sz w:val="24"/>
          <w:szCs w:val="24"/>
        </w:rPr>
        <w:t>Załącznik nr</w:t>
      </w:r>
      <w:r w:rsidR="00AA4EC7">
        <w:rPr>
          <w:b/>
          <w:sz w:val="24"/>
          <w:szCs w:val="24"/>
        </w:rPr>
        <w:t xml:space="preserve"> 5</w:t>
      </w:r>
      <w:r w:rsidRPr="008A5B8A">
        <w:rPr>
          <w:b/>
          <w:sz w:val="24"/>
          <w:szCs w:val="24"/>
        </w:rPr>
        <w:t xml:space="preserve"> do</w:t>
      </w:r>
      <w:r w:rsidR="00AA4EC7">
        <w:rPr>
          <w:b/>
          <w:sz w:val="24"/>
          <w:szCs w:val="24"/>
        </w:rPr>
        <w:t xml:space="preserve"> OPZ</w:t>
      </w:r>
      <w:bookmarkStart w:id="0" w:name="_GoBack"/>
      <w:bookmarkEnd w:id="0"/>
      <w:r w:rsidRPr="008A5B8A">
        <w:rPr>
          <w:b/>
          <w:sz w:val="24"/>
          <w:szCs w:val="24"/>
        </w:rPr>
        <w:t xml:space="preserve">      </w:t>
      </w:r>
    </w:p>
    <w:p w:rsidR="00BD6574" w:rsidRPr="00617502" w:rsidRDefault="008A5B8A" w:rsidP="00617502">
      <w:pPr>
        <w:jc w:val="center"/>
        <w:rPr>
          <w:b/>
          <w:sz w:val="28"/>
          <w:szCs w:val="28"/>
        </w:rPr>
      </w:pPr>
      <w:r w:rsidRPr="00617502">
        <w:rPr>
          <w:b/>
          <w:sz w:val="28"/>
          <w:szCs w:val="28"/>
        </w:rPr>
        <w:t>Model danych Kwitu Rozliczenia oraz Spisu Inwentaryzacyjnego</w:t>
      </w:r>
      <w:r w:rsidR="00BD6574" w:rsidRPr="00617502">
        <w:rPr>
          <w:b/>
          <w:sz w:val="28"/>
          <w:szCs w:val="28"/>
        </w:rPr>
        <w:t>.</w:t>
      </w:r>
    </w:p>
    <w:p w:rsidR="00BD6574" w:rsidRDefault="00BD6574" w:rsidP="00617502">
      <w:pPr>
        <w:jc w:val="both"/>
      </w:pPr>
      <w:r>
        <w:t xml:space="preserve">Na PUESC będą wystawione formularze dla poszczególnych rodzajów Kwitu Rozliczenia (z uwzględnieniem przypadków szczególnych, tj. </w:t>
      </w:r>
      <w:r w:rsidR="00617502">
        <w:t>rodzaju procedury</w:t>
      </w:r>
      <w:r w:rsidR="000F37EB">
        <w:t xml:space="preserve"> oraz</w:t>
      </w:r>
      <w:r w:rsidR="00617502">
        <w:t xml:space="preserve">, sposobu </w:t>
      </w:r>
      <w:r>
        <w:t xml:space="preserve">zamknięcia procedury </w:t>
      </w:r>
      <w:r w:rsidR="000F37EB">
        <w:t>(</w:t>
      </w:r>
      <w:r>
        <w:t>art. 324 RW</w:t>
      </w:r>
      <w:r w:rsidR="00617502">
        <w:t xml:space="preserve"> lub</w:t>
      </w:r>
      <w:r>
        <w:t xml:space="preserve"> art. 325 RW</w:t>
      </w:r>
      <w:r w:rsidR="000F37EB">
        <w:t>)</w:t>
      </w:r>
      <w:r>
        <w:t xml:space="preserve">. </w:t>
      </w:r>
    </w:p>
    <w:p w:rsidR="00BD6574" w:rsidRDefault="00BD6574" w:rsidP="00617502">
      <w:pPr>
        <w:jc w:val="both"/>
      </w:pPr>
      <w:r>
        <w:t>Osoba uprawniona do złożenia Kwitu</w:t>
      </w:r>
      <w:r w:rsidR="006045D7">
        <w:t xml:space="preserve"> lub Spisu</w:t>
      </w:r>
      <w:r>
        <w:t xml:space="preserve"> wybiera formularz właściwy dla danego przypadku szczególnego.</w:t>
      </w:r>
    </w:p>
    <w:p w:rsidR="00BD6574" w:rsidRDefault="00BD6574">
      <w:r>
        <w:t>Dane teleadresowe posiadacza pozwolenia powinny się automatycznie zaciągnąć do formularz Kwitu i Spisu.</w:t>
      </w:r>
    </w:p>
    <w:p w:rsidR="00A213F5" w:rsidRDefault="00A213F5" w:rsidP="00617502">
      <w:pPr>
        <w:tabs>
          <w:tab w:val="left" w:pos="7513"/>
        </w:tabs>
      </w:pPr>
      <w:r>
        <w:t>Format danych w modelu musi odzwierciedlać forma</w:t>
      </w:r>
      <w:r w:rsidR="00617502">
        <w:t xml:space="preserve">t danych określony w przepisach unijnych oraz wykorzystywany w systemach </w:t>
      </w:r>
      <w:r w:rsidR="006045D7">
        <w:t>transakcyjnych.</w:t>
      </w:r>
    </w:p>
    <w:p w:rsidR="00BD6574" w:rsidRDefault="00BD6574">
      <w:r>
        <w:t>Ostateczny model danych zostanie wypracowany w trakcie prac analitycznych z Wykonawcą.</w:t>
      </w:r>
    </w:p>
    <w:tbl>
      <w:tblPr>
        <w:tblStyle w:val="Jasnasiatkaakcent3"/>
        <w:tblW w:w="4802" w:type="pct"/>
        <w:tblLayout w:type="fixed"/>
        <w:tblLook w:val="04A0" w:firstRow="1" w:lastRow="0" w:firstColumn="1" w:lastColumn="0" w:noHBand="0" w:noVBand="1"/>
      </w:tblPr>
      <w:tblGrid>
        <w:gridCol w:w="1385"/>
        <w:gridCol w:w="851"/>
        <w:gridCol w:w="3969"/>
        <w:gridCol w:w="2715"/>
      </w:tblGrid>
      <w:tr w:rsidR="00D91360" w:rsidRPr="00754378" w:rsidTr="00D913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</w:tcPr>
          <w:p w:rsidR="00D91360" w:rsidRPr="0080619D" w:rsidRDefault="00D91360" w:rsidP="00B75C5E">
            <w:pPr>
              <w:spacing w:before="120"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</w:tcPr>
          <w:p w:rsidR="00D91360" w:rsidRPr="007636E5" w:rsidRDefault="00D91360" w:rsidP="00B75C5E">
            <w:pPr>
              <w:spacing w:before="120" w:after="120"/>
              <w:jc w:val="both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7636E5">
              <w:rPr>
                <w:rFonts w:cstheme="minorHAnsi"/>
                <w:color w:val="000000" w:themeColor="text1"/>
                <w:sz w:val="20"/>
                <w:szCs w:val="20"/>
              </w:rPr>
              <w:t xml:space="preserve">Dane ogólne </w:t>
            </w: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619D">
              <w:rPr>
                <w:rFonts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EORI</w:t>
            </w:r>
          </w:p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>(podanie numeru spowoduje, że zaciągną się wszystkie dane teleadresowe podmiotu, który zgodnie z podstawową regułą powinien być zarejestrowany na PUESC)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PESEL (nr IDSISC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S</w:t>
            </w: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)</w:t>
            </w:r>
          </w:p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70C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(dla </w:t>
            </w:r>
            <w:proofErr w:type="gramStart"/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>przypadku gdy</w:t>
            </w:r>
            <w:proofErr w:type="gramEnd"/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 pozwolenie jest na zgłoszeniu</w:t>
            </w:r>
            <w:r>
              <w:rPr>
                <w:rFonts w:cstheme="minorHAnsi"/>
                <w:bCs/>
                <w:color w:val="0070C0"/>
                <w:sz w:val="18"/>
                <w:szCs w:val="18"/>
              </w:rPr>
              <w:t xml:space="preserve"> celnym</w:t>
            </w: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>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Nr pozwolenia</w:t>
            </w:r>
          </w:p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70C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>(z numerem pozwolenia powiązana jest procedura oraz urząd, który je wydał)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80619D">
              <w:rPr>
                <w:rFonts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Nr MRN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 xml:space="preserve"> zamiast Nr pozwolenia</w:t>
            </w:r>
          </w:p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(nr MRN w tych </w:t>
            </w:r>
            <w:proofErr w:type="gramStart"/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>przypadkach gdy</w:t>
            </w:r>
            <w:proofErr w:type="gramEnd"/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 pozwolenie wydawane jest na zgłoszeniu celnym)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80619D"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25" w:type="pct"/>
          </w:tcPr>
          <w:p w:rsidR="00D91360" w:rsidRPr="007636E5" w:rsidRDefault="00D91360" w:rsidP="008A5B8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70C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Kod procedury przy objęciu</w:t>
            </w: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 (reguła walidacyjna: sprawdzenie c</w:t>
            </w:r>
            <w:r>
              <w:rPr>
                <w:rFonts w:cstheme="minorHAnsi"/>
                <w:bCs/>
                <w:color w:val="0070C0"/>
                <w:sz w:val="18"/>
                <w:szCs w:val="18"/>
              </w:rPr>
              <w:t>zy numer pozwolenia podanego w K</w:t>
            </w: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>wicie jest związa</w:t>
            </w:r>
            <w:r>
              <w:rPr>
                <w:rFonts w:cstheme="minorHAnsi"/>
                <w:bCs/>
                <w:color w:val="0070C0"/>
                <w:sz w:val="18"/>
                <w:szCs w:val="18"/>
              </w:rPr>
              <w:t>ny z procedurą, której dotyczy Kwit; eliminacja sytuacji, gdy K</w:t>
            </w: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wit dotyczy procedury </w:t>
            </w:r>
            <w:r>
              <w:rPr>
                <w:rFonts w:cstheme="minorHAnsi"/>
                <w:bCs/>
                <w:color w:val="0070C0"/>
                <w:sz w:val="18"/>
                <w:szCs w:val="18"/>
              </w:rPr>
              <w:t>końcowego przeznaczenia</w:t>
            </w: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 a </w:t>
            </w:r>
            <w:r>
              <w:rPr>
                <w:rFonts w:cstheme="minorHAnsi"/>
                <w:bCs/>
                <w:color w:val="0070C0"/>
                <w:sz w:val="18"/>
                <w:szCs w:val="18"/>
              </w:rPr>
              <w:t xml:space="preserve">w Kwicie </w:t>
            </w: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powołano nr pozwolenia </w:t>
            </w:r>
            <w:r>
              <w:rPr>
                <w:rFonts w:cstheme="minorHAnsi"/>
                <w:bCs/>
                <w:color w:val="0070C0"/>
                <w:sz w:val="18"/>
                <w:szCs w:val="18"/>
              </w:rPr>
              <w:t>na uszlachetnianie czynne lub inną procedurę.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25" w:type="pct"/>
          </w:tcPr>
          <w:p w:rsidR="00D91360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Termin zamknięcia procedury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D91360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70C0"/>
                <w:sz w:val="18"/>
                <w:szCs w:val="18"/>
              </w:rPr>
            </w:pPr>
            <w:r w:rsidRPr="00CC239A">
              <w:rPr>
                <w:rFonts w:cstheme="minorHAnsi"/>
                <w:color w:val="0070C0"/>
                <w:sz w:val="18"/>
                <w:szCs w:val="18"/>
              </w:rPr>
              <w:t>(czas wyrażony w miesiącach potrzebny na przeprowadzenie operacji lub wykorzystanie w ramach wnioskowanej specjalnej procedury celnej)</w:t>
            </w:r>
          </w:p>
          <w:p w:rsidR="00D91360" w:rsidRPr="00084A9E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color w:val="0070C0"/>
                <w:sz w:val="18"/>
                <w:szCs w:val="18"/>
              </w:rPr>
              <w:t xml:space="preserve">(wskazanie, czy ma zastosowanie automatyczne przedłużenie terminu zamknięcia procedury </w:t>
            </w:r>
            <w:r>
              <w:rPr>
                <w:rFonts w:cstheme="minorHAnsi"/>
                <w:color w:val="0070C0"/>
                <w:sz w:val="18"/>
                <w:szCs w:val="18"/>
              </w:rPr>
              <w:lastRenderedPageBreak/>
              <w:t>zgodnie z art. 174 ust. 2 RD)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</w:tcPr>
          <w:p w:rsidR="00D91360" w:rsidRPr="002E6E15" w:rsidRDefault="00D91360" w:rsidP="00B75C5E">
            <w:pPr>
              <w:spacing w:before="120" w:after="12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2E6E1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Dane objęcia</w:t>
            </w: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Nr MRN (objęcie)</w:t>
            </w:r>
          </w:p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color w:val="0070C0"/>
                <w:sz w:val="18"/>
                <w:szCs w:val="18"/>
              </w:rPr>
              <w:t>(MRN) objęcie (OGL)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Data MRN (objęcie)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Pozycja MRN (objęcie)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Kod CN towaru (MRN objęcie)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Towar – nr pozycji ewidencji towarowej/magazynowej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Stawka celna (MRN objęcie)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Opis towaru (MRN objęcie)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11503D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70C0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Identyfikacja towaru (MRN objęcie)</w:t>
            </w:r>
            <w:r w:rsidRPr="007636E5">
              <w:rPr>
                <w:rFonts w:cstheme="minorHAnsi"/>
                <w:color w:val="0070C0"/>
                <w:sz w:val="18"/>
                <w:szCs w:val="18"/>
              </w:rPr>
              <w:t xml:space="preserve"> </w:t>
            </w:r>
          </w:p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color w:val="0070C0"/>
                <w:sz w:val="18"/>
                <w:szCs w:val="18"/>
              </w:rPr>
              <w:t>(środki tożsamości, np. numer)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Ilość towaru (masa netto) (MRN objęcie)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Ilość towaru (jednostki uzupełniające) (MRN objęcie)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 xml:space="preserve">Wartość towaru (waluta) </w:t>
            </w:r>
            <w:r w:rsidRPr="007636E5">
              <w:rPr>
                <w:rFonts w:cstheme="minorHAnsi"/>
                <w:sz w:val="18"/>
                <w:szCs w:val="18"/>
              </w:rPr>
              <w:t>(MRN objęcie)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</w:tcPr>
          <w:p w:rsidR="00D91360" w:rsidRPr="002E6E15" w:rsidRDefault="00D91360" w:rsidP="00B75C5E">
            <w:pPr>
              <w:spacing w:before="120" w:after="12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2E6E15">
              <w:rPr>
                <w:rFonts w:cstheme="minorHAnsi"/>
                <w:color w:val="000000" w:themeColor="text1"/>
                <w:sz w:val="20"/>
                <w:szCs w:val="20"/>
              </w:rPr>
              <w:t>Dane procesu</w:t>
            </w: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Współczynnik produktywności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  <w:highlight w:val="lightGray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Norma zużycia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  <w:highlight w:val="lightGray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477" w:type="pct"/>
          </w:tcPr>
          <w:p w:rsidR="00D91360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 xml:space="preserve">Zasada </w:t>
            </w:r>
            <w:proofErr w:type="spellStart"/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drawback</w:t>
            </w:r>
            <w:proofErr w:type="spellEnd"/>
            <w:r>
              <w:rPr>
                <w:rFonts w:cstheme="minorHAnsi"/>
                <w:bCs/>
                <w:color w:val="000000"/>
                <w:sz w:val="18"/>
                <w:szCs w:val="18"/>
              </w:rPr>
              <w:t xml:space="preserve"> (tak/nie)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  <w:highlight w:val="lightGray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</w:tcPr>
          <w:p w:rsidR="00D91360" w:rsidRPr="002E6E15" w:rsidRDefault="00D91360" w:rsidP="00B75C5E">
            <w:pPr>
              <w:spacing w:before="120" w:after="120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2E6E15">
              <w:rPr>
                <w:rFonts w:cstheme="minorHAnsi"/>
                <w:color w:val="000000" w:themeColor="text1"/>
                <w:sz w:val="20"/>
                <w:szCs w:val="20"/>
              </w:rPr>
              <w:t>Dane zamknięcia</w:t>
            </w:r>
          </w:p>
          <w:p w:rsidR="00D91360" w:rsidRPr="0080619D" w:rsidRDefault="00D91360" w:rsidP="00B75C5E">
            <w:pPr>
              <w:spacing w:before="120" w:after="1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 xml:space="preserve">Nr </w:t>
            </w:r>
            <w:r w:rsidRPr="007636E5">
              <w:rPr>
                <w:rFonts w:cstheme="minorHAnsi"/>
                <w:sz w:val="18"/>
                <w:szCs w:val="18"/>
              </w:rPr>
              <w:t xml:space="preserve">MRN </w:t>
            </w: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o zamknięcie procedury</w:t>
            </w:r>
          </w:p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70C0"/>
                <w:sz w:val="18"/>
                <w:szCs w:val="18"/>
              </w:rPr>
            </w:pPr>
            <w:r w:rsidRPr="007636E5">
              <w:rPr>
                <w:rFonts w:cstheme="minorHAnsi"/>
                <w:color w:val="00B0F0"/>
                <w:sz w:val="18"/>
                <w:szCs w:val="18"/>
              </w:rPr>
              <w:t>(</w:t>
            </w:r>
            <w:r w:rsidRPr="007636E5">
              <w:rPr>
                <w:rFonts w:cstheme="minorHAnsi"/>
                <w:color w:val="0070C0"/>
                <w:sz w:val="18"/>
                <w:szCs w:val="18"/>
              </w:rPr>
              <w:t xml:space="preserve">w przypadku stosowania uproszczeń: w procedurach wywozowych to będzie zgłoszenie kompletne (MRN) lub zgłoszenie uproszczone (MRN), przy procedurach przywozowych (zamknięcie w AIS) – w przypadku wpisu do rejestru zgłaszającego – numer wpisu i data wpisu, w przypadku zgłoszeń uproszczonych nr OGL zgłoszenia uproszczonego /do uzgodnienia, </w:t>
            </w:r>
            <w:r w:rsidRPr="007636E5">
              <w:rPr>
                <w:rFonts w:cstheme="minorHAnsi"/>
                <w:b/>
                <w:color w:val="0070C0"/>
                <w:sz w:val="18"/>
                <w:szCs w:val="18"/>
              </w:rPr>
              <w:t>czy przełożyć termin rozliczenia na zgłoszenie uzupełniające?/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Data MRN zamknięcie</w:t>
            </w:r>
          </w:p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>(jw. data wpisu, data zgłoszenia uproszczonego)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225" w:type="pct"/>
          </w:tcPr>
          <w:p w:rsidR="00D91360" w:rsidRPr="007636E5" w:rsidRDefault="00D91360" w:rsidP="0061349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Data, która jest uznawana/deklarowana za dokonanie powrotnego wywozu z art. 324 RW.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Kod procedury (kod z pola</w:t>
            </w:r>
            <w:proofErr w:type="gramStart"/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 xml:space="preserve"> 37(1)+kod</w:t>
            </w:r>
            <w:proofErr w:type="gramEnd"/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 xml:space="preserve"> uzupełniający 37(2) </w:t>
            </w: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(kod istotny z punktu widzenia zasad kalkulatora dla procedur specjalnych, przy dopuszczeniu do obrotu; w określonych </w:t>
            </w: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lastRenderedPageBreak/>
              <w:t xml:space="preserve">przypadkach podmiot ma obowiązek podania kodu uzupełniającego wskazującego tzw. daty do kalkulacji. Występowanie tych kodów może być podstawą sprawdzenia czy zaistniał przypadek szczególny; równie interesujący jest brak tego kodu w ZC oraz w kwicie; dla przypadków szczególnych </w:t>
            </w:r>
            <w:proofErr w:type="gramStart"/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>jest bowiem</w:t>
            </w:r>
            <w:proofErr w:type="gramEnd"/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 obowiązek wskazywania kodu uzupełniającego, jeśli osoba tego nie zrobi może to być wskaźnik ryzyka dotyczącego nieprawidłowości)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 xml:space="preserve">Produkt (lub towar w stanie </w:t>
            </w:r>
            <w:proofErr w:type="gramStart"/>
            <w:r w:rsidRPr="007636E5">
              <w:rPr>
                <w:rFonts w:cstheme="minorHAnsi"/>
                <w:sz w:val="18"/>
                <w:szCs w:val="18"/>
              </w:rPr>
              <w:t>niezmienionym)  – nr</w:t>
            </w:r>
            <w:proofErr w:type="gramEnd"/>
            <w:r w:rsidRPr="007636E5">
              <w:rPr>
                <w:rFonts w:cstheme="minorHAnsi"/>
                <w:sz w:val="18"/>
                <w:szCs w:val="18"/>
              </w:rPr>
              <w:t xml:space="preserve"> pozycji ewidencji towarowej /magazynowej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Pozycja zgłoszenia (MRN zamknięcie)</w:t>
            </w:r>
          </w:p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70C0"/>
                <w:sz w:val="18"/>
                <w:szCs w:val="18"/>
              </w:rPr>
              <w:t>(w przypadku, gdy w kwicie będzie odniesienie do wpisu do rejestru może być problem!!!)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225" w:type="pct"/>
          </w:tcPr>
          <w:p w:rsidR="00D91360" w:rsidRPr="007636E5" w:rsidRDefault="00D91360" w:rsidP="0056421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Rodzaj produktu przetworzonego (MRN zamknięcie)</w:t>
            </w:r>
          </w:p>
          <w:p w:rsidR="00D91360" w:rsidRPr="007636E5" w:rsidRDefault="00D91360" w:rsidP="0056421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color w:val="0070C0"/>
                <w:sz w:val="18"/>
                <w:szCs w:val="18"/>
              </w:rPr>
              <w:t>(lub towaru w stanie niezmienionym)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sz w:val="18"/>
                <w:szCs w:val="18"/>
              </w:rPr>
              <w:t>Kod CN produktu przetworzonego (MRN zamknięcie)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 xml:space="preserve">Ilość produktu (masa netto) </w:t>
            </w:r>
            <w:r w:rsidRPr="007636E5">
              <w:rPr>
                <w:rFonts w:cstheme="minorHAnsi"/>
                <w:sz w:val="18"/>
                <w:szCs w:val="18"/>
              </w:rPr>
              <w:t>(MRN zamknięcie)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Ilość produktu (jednostki uzupełniające TARIC)</w:t>
            </w:r>
            <w:r w:rsidRPr="007636E5">
              <w:rPr>
                <w:rFonts w:cstheme="minorHAnsi"/>
                <w:sz w:val="18"/>
                <w:szCs w:val="18"/>
              </w:rPr>
              <w:t xml:space="preserve"> (MRN zamknięcie)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 xml:space="preserve">Identyfikacja towaru </w:t>
            </w:r>
            <w:r w:rsidRPr="007636E5">
              <w:rPr>
                <w:rFonts w:cstheme="minorHAnsi"/>
                <w:sz w:val="18"/>
                <w:szCs w:val="18"/>
              </w:rPr>
              <w:t>(MRN zamknięcie)</w:t>
            </w:r>
          </w:p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70C0"/>
                <w:sz w:val="18"/>
                <w:szCs w:val="18"/>
              </w:rPr>
              <w:t>(środki tożsamości, np. numer)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0000"/>
                <w:sz w:val="18"/>
                <w:szCs w:val="18"/>
              </w:rPr>
              <w:t xml:space="preserve">Wartość produktu przetworzonego </w:t>
            </w:r>
            <w:r w:rsidRPr="007636E5">
              <w:rPr>
                <w:rFonts w:cstheme="minorHAnsi"/>
                <w:sz w:val="18"/>
                <w:szCs w:val="18"/>
              </w:rPr>
              <w:t>(MRN zamknięcie)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0000"/>
                <w:sz w:val="18"/>
                <w:szCs w:val="18"/>
              </w:rPr>
              <w:t>Wartość celna produktu (???)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70C0"/>
                <w:sz w:val="18"/>
                <w:szCs w:val="18"/>
              </w:rPr>
            </w:pPr>
            <w:r w:rsidRPr="007636E5">
              <w:rPr>
                <w:rFonts w:cstheme="minorHAnsi"/>
                <w:color w:val="000000"/>
                <w:sz w:val="18"/>
                <w:szCs w:val="18"/>
              </w:rPr>
              <w:t xml:space="preserve">Należności celne i podatkowe </w:t>
            </w:r>
            <w:r w:rsidRPr="007636E5">
              <w:rPr>
                <w:rFonts w:cstheme="minorHAnsi"/>
                <w:color w:val="0070C0"/>
                <w:sz w:val="18"/>
                <w:szCs w:val="18"/>
              </w:rPr>
              <w:t>(dla określonych przypadków szczególnych) (należności celne i podatkowe w przypadku wpisu określone są dopiero na etapie zgłoszenia uzupełniającego)</w:t>
            </w:r>
          </w:p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  <w:sz w:val="18"/>
                <w:szCs w:val="18"/>
              </w:rPr>
            </w:pPr>
            <w:r w:rsidRPr="00613491">
              <w:rPr>
                <w:rFonts w:cstheme="minorHAnsi"/>
                <w:b/>
                <w:color w:val="0070C0"/>
                <w:sz w:val="18"/>
                <w:szCs w:val="18"/>
              </w:rPr>
              <w:t>Dla przypadku art. 325</w:t>
            </w:r>
            <w:r w:rsidRPr="007636E5">
              <w:rPr>
                <w:rFonts w:cstheme="minorHAnsi"/>
                <w:color w:val="0070C0"/>
                <w:sz w:val="18"/>
                <w:szCs w:val="18"/>
              </w:rPr>
              <w:t xml:space="preserve"> – w kwicie muszą być dane takie same jak w polu 47 SAD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0000"/>
                <w:sz w:val="18"/>
                <w:szCs w:val="18"/>
              </w:rPr>
              <w:t>Inne (wskazane przez organ celny wydający pozwolenie)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0000"/>
                <w:sz w:val="18"/>
                <w:szCs w:val="18"/>
              </w:rPr>
              <w:t>Wskazanie wszelkich dokumentów potwierdzających nadanie końcowego przeznaczenia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0000"/>
                <w:sz w:val="18"/>
                <w:szCs w:val="18"/>
              </w:rPr>
              <w:t>Data nadania końcowego przeznaczenia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0000"/>
                <w:sz w:val="18"/>
                <w:szCs w:val="18"/>
              </w:rPr>
              <w:t>Przekazanie praw i obowiązków, np. dokument przekazania i data (DPT)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0000"/>
                <w:sz w:val="18"/>
                <w:szCs w:val="18"/>
              </w:rPr>
              <w:t>Numer faktury przy zamknięciu procedury (MRM zamknięcia)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color w:val="000000"/>
                <w:sz w:val="18"/>
                <w:szCs w:val="18"/>
              </w:rPr>
              <w:t>Numer pozycji ewidencji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Pr="0080619D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18"/>
                <w:szCs w:val="18"/>
              </w:rPr>
            </w:pPr>
            <w:r w:rsidRPr="00FF43EF">
              <w:rPr>
                <w:rFonts w:cstheme="minorHAnsi"/>
                <w:sz w:val="18"/>
                <w:szCs w:val="18"/>
              </w:rPr>
              <w:t>Data z protokołu zniszczenia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 w:val="restart"/>
          </w:tcPr>
          <w:p w:rsidR="00D91360" w:rsidRPr="00B65E3F" w:rsidRDefault="00D91360" w:rsidP="002E6E15">
            <w:pPr>
              <w:spacing w:before="120" w:after="120"/>
              <w:jc w:val="center"/>
              <w:rPr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Saldo</w:t>
            </w:r>
            <w:r w:rsidRPr="00B65E3F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77" w:type="pct"/>
          </w:tcPr>
          <w:p w:rsidR="00D91360" w:rsidRDefault="00D91360" w:rsidP="00B75C5E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25" w:type="pct"/>
          </w:tcPr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Ilość towaru zużytego w procesie przetworzenia (do wytworzenia produktu)</w:t>
            </w:r>
          </w:p>
          <w:p w:rsidR="00D91360" w:rsidRPr="007636E5" w:rsidRDefault="00D91360" w:rsidP="00B75C5E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(ilość towaru objętego </w:t>
            </w:r>
            <w:proofErr w:type="gramStart"/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>procedurą jaka</w:t>
            </w:r>
            <w:proofErr w:type="gramEnd"/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 została zużyta do produktów kompensacyjnych</w:t>
            </w:r>
            <w:r>
              <w:rPr>
                <w:rFonts w:cstheme="minorHAnsi"/>
                <w:bCs/>
                <w:color w:val="0070C0"/>
                <w:sz w:val="18"/>
                <w:szCs w:val="18"/>
              </w:rPr>
              <w:t>,</w:t>
            </w:r>
            <w:r w:rsidRPr="007636E5">
              <w:rPr>
                <w:rFonts w:cstheme="minorHAnsi"/>
                <w:bCs/>
                <w:color w:val="0070C0"/>
                <w:sz w:val="18"/>
                <w:szCs w:val="18"/>
              </w:rPr>
              <w:t xml:space="preserve"> których dotyczy kwit)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91360" w:rsidRPr="00754378" w:rsidTr="00D913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" w:type="pct"/>
            <w:vMerge/>
          </w:tcPr>
          <w:p w:rsidR="00D91360" w:rsidRPr="0080619D" w:rsidRDefault="00D91360" w:rsidP="00B75C5E">
            <w:pPr>
              <w:spacing w:before="120" w:after="12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</w:tcPr>
          <w:p w:rsidR="00D91360" w:rsidRDefault="00D91360" w:rsidP="00B75C5E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25" w:type="pct"/>
          </w:tcPr>
          <w:p w:rsidR="00D91360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7636E5">
              <w:rPr>
                <w:rFonts w:cstheme="minorHAnsi"/>
                <w:bCs/>
                <w:color w:val="000000"/>
                <w:sz w:val="18"/>
                <w:szCs w:val="18"/>
              </w:rPr>
              <w:t>Saldo (ilość towaru, który pozostał do rozliczenia</w:t>
            </w:r>
          </w:p>
          <w:p w:rsidR="00D91360" w:rsidRPr="007636E5" w:rsidRDefault="00D91360" w:rsidP="00B75C5E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Przy składzie celnym – saldo ilościowe – stan magazynowy</w:t>
            </w:r>
          </w:p>
        </w:tc>
        <w:tc>
          <w:tcPr>
            <w:tcW w:w="1523" w:type="pct"/>
          </w:tcPr>
          <w:p w:rsidR="00D91360" w:rsidRPr="00D91360" w:rsidRDefault="00D91360" w:rsidP="00D91360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:rsidR="00B75C5E" w:rsidRDefault="00B75C5E"/>
    <w:p w:rsidR="00B75C5E" w:rsidRDefault="00B75C5E"/>
    <w:sectPr w:rsidR="00B75C5E" w:rsidSect="00617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C5E"/>
    <w:rsid w:val="000424E1"/>
    <w:rsid w:val="00067E00"/>
    <w:rsid w:val="00083518"/>
    <w:rsid w:val="00084A9E"/>
    <w:rsid w:val="000F37EB"/>
    <w:rsid w:val="0011503D"/>
    <w:rsid w:val="001150C7"/>
    <w:rsid w:val="00126D22"/>
    <w:rsid w:val="00147DFC"/>
    <w:rsid w:val="001A4F93"/>
    <w:rsid w:val="002136A0"/>
    <w:rsid w:val="002E6E15"/>
    <w:rsid w:val="00315AF4"/>
    <w:rsid w:val="003D7DA4"/>
    <w:rsid w:val="00401D83"/>
    <w:rsid w:val="004F207C"/>
    <w:rsid w:val="00525B6E"/>
    <w:rsid w:val="00564219"/>
    <w:rsid w:val="006045D7"/>
    <w:rsid w:val="00613491"/>
    <w:rsid w:val="00617502"/>
    <w:rsid w:val="007636E5"/>
    <w:rsid w:val="008A5B8A"/>
    <w:rsid w:val="009831DE"/>
    <w:rsid w:val="00A213F5"/>
    <w:rsid w:val="00A65030"/>
    <w:rsid w:val="00A87835"/>
    <w:rsid w:val="00AA4EC7"/>
    <w:rsid w:val="00AB3492"/>
    <w:rsid w:val="00B4449B"/>
    <w:rsid w:val="00B72C62"/>
    <w:rsid w:val="00B75C5E"/>
    <w:rsid w:val="00BD6574"/>
    <w:rsid w:val="00C1001C"/>
    <w:rsid w:val="00C56931"/>
    <w:rsid w:val="00CB6FE3"/>
    <w:rsid w:val="00CC239A"/>
    <w:rsid w:val="00D1629E"/>
    <w:rsid w:val="00D43520"/>
    <w:rsid w:val="00D707F6"/>
    <w:rsid w:val="00D91360"/>
    <w:rsid w:val="00DB332E"/>
    <w:rsid w:val="00EE0BE1"/>
    <w:rsid w:val="00F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9D1D1-C600-4D3F-B32A-C693A837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5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642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42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42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42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42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219"/>
    <w:rPr>
      <w:rFonts w:ascii="Tahoma" w:hAnsi="Tahoma" w:cs="Tahoma"/>
      <w:sz w:val="16"/>
      <w:szCs w:val="16"/>
    </w:rPr>
  </w:style>
  <w:style w:type="table" w:styleId="Jasnecieniowanieakcent1">
    <w:name w:val="Light Shading Accent 1"/>
    <w:basedOn w:val="Standardowy"/>
    <w:uiPriority w:val="60"/>
    <w:rsid w:val="0061750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asiatkaakcent3">
    <w:name w:val="Light Grid Accent 3"/>
    <w:basedOn w:val="Standardowy"/>
    <w:uiPriority w:val="62"/>
    <w:rsid w:val="006175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76424-5370-4429-8218-EF279DC4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744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BB</dc:creator>
  <cp:lastModifiedBy>Cichocki Marcin</cp:lastModifiedBy>
  <cp:revision>9</cp:revision>
  <dcterms:created xsi:type="dcterms:W3CDTF">2017-02-09T22:01:00Z</dcterms:created>
  <dcterms:modified xsi:type="dcterms:W3CDTF">2018-04-09T07:44:00Z</dcterms:modified>
</cp:coreProperties>
</file>